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Pr="00BE6F1C" w:rsidRDefault="00E63CB8" w:rsidP="00E63CB8">
      <w:pPr>
        <w:spacing w:line="480" w:lineRule="auto"/>
        <w:contextualSpacing/>
        <w:jc w:val="center"/>
        <w:rPr>
          <w:rFonts w:ascii="Times New Roman" w:hAnsi="Times New Roman" w:cs="Times New Roman"/>
          <w:b/>
          <w:sz w:val="24"/>
        </w:rPr>
      </w:pPr>
      <w:r w:rsidRPr="00BE6F1C">
        <w:rPr>
          <w:rFonts w:ascii="Times New Roman" w:hAnsi="Times New Roman" w:cs="Times New Roman"/>
          <w:b/>
          <w:sz w:val="24"/>
        </w:rPr>
        <w:t xml:space="preserve">Little Women: Book by Louisa May </w:t>
      </w:r>
      <w:r w:rsidRPr="00E63CB8">
        <w:rPr>
          <w:rFonts w:ascii="Times New Roman" w:hAnsi="Times New Roman" w:cs="Times New Roman"/>
          <w:b/>
          <w:sz w:val="24"/>
          <w:szCs w:val="24"/>
        </w:rPr>
        <w:t>Alcott</w:t>
      </w:r>
      <w:r w:rsidRPr="00E63CB8">
        <w:rPr>
          <w:rFonts w:ascii="Times New Roman" w:hAnsi="Times New Roman" w:cs="Times New Roman"/>
          <w:b/>
          <w:sz w:val="24"/>
          <w:szCs w:val="24"/>
        </w:rPr>
        <w:t xml:space="preserve"> and </w:t>
      </w:r>
      <w:r>
        <w:rPr>
          <w:rFonts w:ascii="Times New Roman" w:hAnsi="Times New Roman" w:cs="Times New Roman"/>
          <w:b/>
          <w:sz w:val="24"/>
          <w:szCs w:val="24"/>
        </w:rPr>
        <w:t xml:space="preserve">Film by </w:t>
      </w:r>
      <w:r w:rsidRPr="00E63CB8">
        <w:rPr>
          <w:rFonts w:ascii="Times New Roman" w:hAnsi="Times New Roman" w:cs="Times New Roman"/>
          <w:b/>
          <w:color w:val="1D1D1D"/>
          <w:sz w:val="24"/>
          <w:szCs w:val="24"/>
          <w:shd w:val="clear" w:color="auto" w:fill="FFFFFF"/>
        </w:rPr>
        <w:t xml:space="preserve">Greta </w:t>
      </w:r>
      <w:proofErr w:type="spellStart"/>
      <w:r w:rsidRPr="00E63CB8">
        <w:rPr>
          <w:rFonts w:ascii="Times New Roman" w:hAnsi="Times New Roman" w:cs="Times New Roman"/>
          <w:b/>
          <w:color w:val="1D1D1D"/>
          <w:sz w:val="24"/>
          <w:szCs w:val="24"/>
          <w:shd w:val="clear" w:color="auto" w:fill="FFFFFF"/>
        </w:rPr>
        <w:t>Gerwig’</w:t>
      </w:r>
      <w:r>
        <w:rPr>
          <w:rFonts w:ascii="Times New Roman" w:hAnsi="Times New Roman" w:cs="Times New Roman"/>
          <w:b/>
          <w:color w:val="1D1D1D"/>
          <w:sz w:val="24"/>
          <w:szCs w:val="24"/>
          <w:shd w:val="clear" w:color="auto" w:fill="FFFFFF"/>
        </w:rPr>
        <w:t>s</w:t>
      </w:r>
      <w:bookmarkStart w:id="0" w:name="_GoBack"/>
      <w:bookmarkEnd w:id="0"/>
      <w:proofErr w:type="spellEnd"/>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Pr="00E63CB8" w:rsidRDefault="00E63CB8" w:rsidP="00BE6F1C">
      <w:pPr>
        <w:spacing w:line="480" w:lineRule="auto"/>
        <w:contextualSpacing/>
        <w:jc w:val="center"/>
        <w:rPr>
          <w:rFonts w:ascii="Times New Roman" w:hAnsi="Times New Roman" w:cs="Times New Roman"/>
          <w:sz w:val="24"/>
        </w:rPr>
      </w:pPr>
      <w:r w:rsidRPr="00E63CB8">
        <w:rPr>
          <w:rFonts w:ascii="Times New Roman" w:hAnsi="Times New Roman" w:cs="Times New Roman"/>
          <w:sz w:val="24"/>
        </w:rPr>
        <w:t>Affiliation</w:t>
      </w:r>
    </w:p>
    <w:p w:rsidR="00E63CB8" w:rsidRPr="00E63CB8" w:rsidRDefault="00E63CB8" w:rsidP="00BE6F1C">
      <w:pPr>
        <w:spacing w:line="480" w:lineRule="auto"/>
        <w:contextualSpacing/>
        <w:jc w:val="center"/>
        <w:rPr>
          <w:rFonts w:ascii="Times New Roman" w:hAnsi="Times New Roman" w:cs="Times New Roman"/>
          <w:sz w:val="24"/>
        </w:rPr>
      </w:pPr>
      <w:r w:rsidRPr="00E63CB8">
        <w:rPr>
          <w:rFonts w:ascii="Times New Roman" w:hAnsi="Times New Roman" w:cs="Times New Roman"/>
          <w:sz w:val="24"/>
        </w:rPr>
        <w:t>Professor</w:t>
      </w:r>
    </w:p>
    <w:p w:rsidR="00E63CB8" w:rsidRPr="00E63CB8" w:rsidRDefault="00E63CB8" w:rsidP="00BE6F1C">
      <w:pPr>
        <w:spacing w:line="480" w:lineRule="auto"/>
        <w:contextualSpacing/>
        <w:jc w:val="center"/>
        <w:rPr>
          <w:rFonts w:ascii="Times New Roman" w:hAnsi="Times New Roman" w:cs="Times New Roman"/>
          <w:sz w:val="24"/>
        </w:rPr>
      </w:pPr>
      <w:r w:rsidRPr="00E63CB8">
        <w:rPr>
          <w:rFonts w:ascii="Times New Roman" w:hAnsi="Times New Roman" w:cs="Times New Roman"/>
          <w:sz w:val="24"/>
        </w:rPr>
        <w:t>Student</w:t>
      </w:r>
    </w:p>
    <w:p w:rsidR="00E63CB8" w:rsidRPr="00E63CB8" w:rsidRDefault="00E63CB8" w:rsidP="00BE6F1C">
      <w:pPr>
        <w:spacing w:line="480" w:lineRule="auto"/>
        <w:contextualSpacing/>
        <w:jc w:val="center"/>
        <w:rPr>
          <w:rFonts w:ascii="Times New Roman" w:hAnsi="Times New Roman" w:cs="Times New Roman"/>
          <w:sz w:val="24"/>
        </w:rPr>
      </w:pPr>
      <w:r w:rsidRPr="00E63CB8">
        <w:rPr>
          <w:rFonts w:ascii="Times New Roman" w:hAnsi="Times New Roman" w:cs="Times New Roman"/>
          <w:sz w:val="24"/>
        </w:rPr>
        <w:t>Date</w:t>
      </w: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E63CB8" w:rsidRDefault="00E63CB8" w:rsidP="00E63CB8">
      <w:pPr>
        <w:spacing w:line="480" w:lineRule="auto"/>
        <w:contextualSpacing/>
        <w:rPr>
          <w:rFonts w:ascii="Times New Roman" w:hAnsi="Times New Roman" w:cs="Times New Roman"/>
          <w:b/>
          <w:sz w:val="24"/>
        </w:rPr>
      </w:pPr>
    </w:p>
    <w:p w:rsidR="00E63CB8" w:rsidRDefault="00E63CB8" w:rsidP="00BE6F1C">
      <w:pPr>
        <w:spacing w:line="480" w:lineRule="auto"/>
        <w:contextualSpacing/>
        <w:jc w:val="center"/>
        <w:rPr>
          <w:rFonts w:ascii="Times New Roman" w:hAnsi="Times New Roman" w:cs="Times New Roman"/>
          <w:b/>
          <w:sz w:val="24"/>
        </w:rPr>
      </w:pPr>
    </w:p>
    <w:p w:rsidR="00BE6F1C" w:rsidRPr="00BE6F1C" w:rsidRDefault="00BE6F1C" w:rsidP="00BE6F1C">
      <w:pPr>
        <w:spacing w:line="480" w:lineRule="auto"/>
        <w:contextualSpacing/>
        <w:jc w:val="center"/>
        <w:rPr>
          <w:rFonts w:ascii="Times New Roman" w:hAnsi="Times New Roman" w:cs="Times New Roman"/>
          <w:b/>
          <w:sz w:val="24"/>
        </w:rPr>
      </w:pPr>
      <w:r w:rsidRPr="00BE6F1C">
        <w:rPr>
          <w:rFonts w:ascii="Times New Roman" w:hAnsi="Times New Roman" w:cs="Times New Roman"/>
          <w:b/>
          <w:sz w:val="24"/>
        </w:rPr>
        <w:lastRenderedPageBreak/>
        <w:t>Little Women: Book by Louisa May Alcott</w:t>
      </w:r>
    </w:p>
    <w:p w:rsidR="00BE6F1C" w:rsidRPr="00BE6F1C" w:rsidRDefault="00BE6F1C" w:rsidP="00BE6F1C">
      <w:pPr>
        <w:spacing w:line="480" w:lineRule="auto"/>
        <w:contextualSpacing/>
        <w:jc w:val="center"/>
        <w:rPr>
          <w:rFonts w:ascii="Times New Roman" w:hAnsi="Times New Roman" w:cs="Times New Roman"/>
          <w:b/>
          <w:sz w:val="24"/>
        </w:rPr>
      </w:pPr>
      <w:r w:rsidRPr="00BE6F1C">
        <w:rPr>
          <w:rFonts w:ascii="Times New Roman" w:hAnsi="Times New Roman" w:cs="Times New Roman"/>
          <w:b/>
          <w:sz w:val="24"/>
        </w:rPr>
        <w:t>Introduction</w:t>
      </w:r>
    </w:p>
    <w:p w:rsidR="00BE6F1C" w:rsidRPr="00BE6F1C" w:rsidRDefault="00BE6F1C" w:rsidP="00BE6F1C">
      <w:pPr>
        <w:spacing w:line="480" w:lineRule="auto"/>
        <w:ind w:firstLine="720"/>
        <w:contextualSpacing/>
        <w:rPr>
          <w:rFonts w:ascii="Times New Roman" w:hAnsi="Times New Roman" w:cs="Times New Roman"/>
          <w:sz w:val="24"/>
        </w:rPr>
      </w:pPr>
      <w:r w:rsidRPr="00BE6F1C">
        <w:rPr>
          <w:rFonts w:ascii="Times New Roman" w:hAnsi="Times New Roman" w:cs="Times New Roman"/>
          <w:sz w:val="24"/>
        </w:rPr>
        <w:t xml:space="preserve">The story by Louisa May Alcott follows the lives of four sisters Jo, Beth, Meg, and Amy, describing the stages of their childhood to womanhood. Alcott’s narrative showcases the ambitions, trials, and triumphs of the four sisters in their relationship with one another and with their mother. The novel depicts the challenges of a true vocation, the effects of social pressures, and the burden of domestic labor. The Little Women film by Greta </w:t>
      </w:r>
      <w:proofErr w:type="spellStart"/>
      <w:r w:rsidRPr="00BE6F1C">
        <w:rPr>
          <w:rFonts w:ascii="Times New Roman" w:hAnsi="Times New Roman" w:cs="Times New Roman"/>
          <w:sz w:val="24"/>
        </w:rPr>
        <w:t>Gerwig</w:t>
      </w:r>
      <w:proofErr w:type="spellEnd"/>
      <w:r w:rsidRPr="00BE6F1C">
        <w:rPr>
          <w:rFonts w:ascii="Times New Roman" w:hAnsi="Times New Roman" w:cs="Times New Roman"/>
          <w:sz w:val="24"/>
        </w:rPr>
        <w:t xml:space="preserve"> is an adaptation film that chronicles the characters and themes in Alcott’s novel. However, both the book and the movie have various differences in explaining the lives of the four sisters and their role in society. This paper provides a comparison of Alcott’s novel and </w:t>
      </w:r>
      <w:proofErr w:type="spellStart"/>
      <w:r w:rsidRPr="00BE6F1C">
        <w:rPr>
          <w:rFonts w:ascii="Times New Roman" w:hAnsi="Times New Roman" w:cs="Times New Roman"/>
          <w:sz w:val="24"/>
        </w:rPr>
        <w:t>Gerwig’s</w:t>
      </w:r>
      <w:proofErr w:type="spellEnd"/>
      <w:r w:rsidRPr="00BE6F1C">
        <w:rPr>
          <w:rFonts w:ascii="Times New Roman" w:hAnsi="Times New Roman" w:cs="Times New Roman"/>
          <w:sz w:val="24"/>
        </w:rPr>
        <w:t xml:space="preserve"> adaptation film on Little Women.</w:t>
      </w:r>
    </w:p>
    <w:p w:rsidR="00BE6F1C" w:rsidRPr="00BE6F1C" w:rsidRDefault="00BE6F1C" w:rsidP="00BE6F1C">
      <w:pPr>
        <w:spacing w:line="480" w:lineRule="auto"/>
        <w:contextualSpacing/>
        <w:jc w:val="center"/>
        <w:rPr>
          <w:rFonts w:ascii="Times New Roman" w:hAnsi="Times New Roman" w:cs="Times New Roman"/>
          <w:b/>
          <w:sz w:val="24"/>
        </w:rPr>
      </w:pPr>
      <w:r w:rsidRPr="00BE6F1C">
        <w:rPr>
          <w:rFonts w:ascii="Times New Roman" w:hAnsi="Times New Roman" w:cs="Times New Roman"/>
          <w:b/>
          <w:sz w:val="24"/>
        </w:rPr>
        <w:t>Differences</w:t>
      </w:r>
    </w:p>
    <w:p w:rsidR="00BE6F1C" w:rsidRPr="00BE6F1C" w:rsidRDefault="00BE6F1C" w:rsidP="00BE6F1C">
      <w:pPr>
        <w:spacing w:line="480" w:lineRule="auto"/>
        <w:ind w:firstLine="720"/>
        <w:contextualSpacing/>
        <w:rPr>
          <w:rFonts w:ascii="Times New Roman" w:hAnsi="Times New Roman" w:cs="Times New Roman"/>
          <w:sz w:val="24"/>
        </w:rPr>
      </w:pPr>
      <w:r w:rsidRPr="00BE6F1C">
        <w:rPr>
          <w:rFonts w:ascii="Times New Roman" w:hAnsi="Times New Roman" w:cs="Times New Roman"/>
          <w:sz w:val="24"/>
        </w:rPr>
        <w:t xml:space="preserve">The Little Women novel is told in a linear version. The four sisters are first seen as young girls dealing with issues of childhood and adolescence stage. They focus on minor problems such as using needing money to buy limes while in school and burning books for each other. On the contrary, Jo is introduced as an adult woman in the city, trying </w:t>
      </w:r>
      <w:proofErr w:type="spellStart"/>
      <w:r w:rsidRPr="00BE6F1C">
        <w:rPr>
          <w:rFonts w:ascii="Times New Roman" w:hAnsi="Times New Roman" w:cs="Times New Roman"/>
          <w:sz w:val="24"/>
        </w:rPr>
        <w:t>Gerwig’s</w:t>
      </w:r>
      <w:proofErr w:type="spellEnd"/>
      <w:r w:rsidRPr="00BE6F1C">
        <w:rPr>
          <w:rFonts w:ascii="Times New Roman" w:hAnsi="Times New Roman" w:cs="Times New Roman"/>
          <w:sz w:val="24"/>
        </w:rPr>
        <w:t xml:space="preserve"> film shows. She is trying to make a living by teaching children and selling stories. The film also combines instances of the sisters as youths and grown adults back and forth, unlike Alcott’s novel. Circumstances from the past about the four sisters later reflect on the future as seen in the film</w:t>
      </w:r>
      <w:r w:rsidR="00EE3A1B">
        <w:rPr>
          <w:rFonts w:ascii="Times New Roman" w:hAnsi="Times New Roman" w:cs="Times New Roman"/>
          <w:sz w:val="24"/>
        </w:rPr>
        <w:t xml:space="preserve"> (</w:t>
      </w:r>
      <w:proofErr w:type="spellStart"/>
      <w:r w:rsidR="00EE3A1B">
        <w:rPr>
          <w:rFonts w:ascii="Times New Roman" w:hAnsi="Times New Roman" w:cs="Times New Roman"/>
          <w:sz w:val="24"/>
        </w:rPr>
        <w:t>Brondy</w:t>
      </w:r>
      <w:proofErr w:type="spellEnd"/>
      <w:r w:rsidR="00EE3A1B">
        <w:rPr>
          <w:rFonts w:ascii="Times New Roman" w:hAnsi="Times New Roman" w:cs="Times New Roman"/>
          <w:sz w:val="24"/>
        </w:rPr>
        <w:t>, 2019)</w:t>
      </w:r>
      <w:r w:rsidRPr="00BE6F1C">
        <w:rPr>
          <w:rFonts w:ascii="Times New Roman" w:hAnsi="Times New Roman" w:cs="Times New Roman"/>
          <w:sz w:val="24"/>
        </w:rPr>
        <w:t>. Therefore, the film is told in a non-linear version.</w:t>
      </w:r>
    </w:p>
    <w:p w:rsidR="00BE6F1C" w:rsidRPr="00BE6F1C" w:rsidRDefault="00BE6F1C" w:rsidP="00BE6F1C">
      <w:pPr>
        <w:spacing w:line="480" w:lineRule="auto"/>
        <w:ind w:firstLine="720"/>
        <w:contextualSpacing/>
        <w:rPr>
          <w:rFonts w:ascii="Times New Roman" w:hAnsi="Times New Roman" w:cs="Times New Roman"/>
          <w:sz w:val="24"/>
        </w:rPr>
      </w:pPr>
      <w:r w:rsidRPr="00BE6F1C">
        <w:rPr>
          <w:rFonts w:ascii="Times New Roman" w:hAnsi="Times New Roman" w:cs="Times New Roman"/>
          <w:sz w:val="24"/>
        </w:rPr>
        <w:t>The book features more moments between the characters than the film. The book has many instances of disagreements between Amy and Jo as compared to the film. In addition, Amy is portrayed as more aristocratic in the novel as she interacts with her sisters and other local peers</w:t>
      </w:r>
      <w:r w:rsidR="00E63CB8">
        <w:rPr>
          <w:rFonts w:ascii="Times New Roman" w:hAnsi="Times New Roman" w:cs="Times New Roman"/>
          <w:sz w:val="24"/>
        </w:rPr>
        <w:t xml:space="preserve"> </w:t>
      </w:r>
      <w:r w:rsidR="00E63CB8">
        <w:rPr>
          <w:rFonts w:ascii="Times New Roman" w:hAnsi="Times New Roman" w:cs="Times New Roman"/>
          <w:sz w:val="24"/>
        </w:rPr>
        <w:lastRenderedPageBreak/>
        <w:t>(</w:t>
      </w:r>
      <w:r w:rsidR="00E63CB8">
        <w:rPr>
          <w:rFonts w:ascii="Times New Roman" w:eastAsia="Arial Unicode MS" w:hAnsi="Times New Roman" w:cs="Times New Roman"/>
          <w:color w:val="000000"/>
          <w:sz w:val="24"/>
          <w:szCs w:val="24"/>
        </w:rPr>
        <w:t>Alcott, 2004)</w:t>
      </w:r>
      <w:r w:rsidRPr="00BE6F1C">
        <w:rPr>
          <w:rFonts w:ascii="Times New Roman" w:hAnsi="Times New Roman" w:cs="Times New Roman"/>
          <w:sz w:val="24"/>
        </w:rPr>
        <w:t xml:space="preserve">. For instance, her relationship with Aunt March is clearly described by Alcott in the “Little Women” novel. In light of this, </w:t>
      </w:r>
      <w:proofErr w:type="spellStart"/>
      <w:r w:rsidRPr="00BE6F1C">
        <w:rPr>
          <w:rFonts w:ascii="Times New Roman" w:hAnsi="Times New Roman" w:cs="Times New Roman"/>
          <w:sz w:val="24"/>
        </w:rPr>
        <w:t>Gerwig’s</w:t>
      </w:r>
      <w:proofErr w:type="spellEnd"/>
      <w:r w:rsidRPr="00BE6F1C">
        <w:rPr>
          <w:rFonts w:ascii="Times New Roman" w:hAnsi="Times New Roman" w:cs="Times New Roman"/>
          <w:sz w:val="24"/>
        </w:rPr>
        <w:t xml:space="preserve"> adaptation film limits the relationship of the characters as seen in the story. Although the movie establishes similar relationships to the book, it only picks the critical moments to take a short duration as possible.</w:t>
      </w:r>
    </w:p>
    <w:p w:rsidR="00BE6F1C" w:rsidRPr="00BE6F1C" w:rsidRDefault="00BE6F1C" w:rsidP="00BE6F1C">
      <w:pPr>
        <w:spacing w:line="480" w:lineRule="auto"/>
        <w:ind w:firstLine="720"/>
        <w:contextualSpacing/>
        <w:rPr>
          <w:rFonts w:ascii="Times New Roman" w:hAnsi="Times New Roman" w:cs="Times New Roman"/>
          <w:sz w:val="24"/>
        </w:rPr>
      </w:pPr>
      <w:r w:rsidRPr="00BE6F1C">
        <w:rPr>
          <w:rFonts w:ascii="Times New Roman" w:hAnsi="Times New Roman" w:cs="Times New Roman"/>
          <w:sz w:val="24"/>
        </w:rPr>
        <w:t>Alcott’s novel portrays Aunt March as an often mentioned character but does not speak very often. For instance, she has thoughts about Amy’s decision to say not to her European beau. Aunt March is also shown when doing things like scolding Jo for being rude and inattentive and taking Amy to France</w:t>
      </w:r>
      <w:r w:rsidR="00E63CB8">
        <w:rPr>
          <w:rFonts w:ascii="Times New Roman" w:hAnsi="Times New Roman" w:cs="Times New Roman"/>
          <w:sz w:val="24"/>
        </w:rPr>
        <w:t xml:space="preserve"> (</w:t>
      </w:r>
      <w:r w:rsidR="00E63CB8">
        <w:rPr>
          <w:rFonts w:ascii="Times New Roman" w:eastAsia="Arial Unicode MS" w:hAnsi="Times New Roman" w:cs="Times New Roman"/>
          <w:color w:val="000000"/>
          <w:sz w:val="24"/>
          <w:szCs w:val="24"/>
        </w:rPr>
        <w:t>Alcott, 2004)</w:t>
      </w:r>
      <w:r w:rsidRPr="00BE6F1C">
        <w:rPr>
          <w:rFonts w:ascii="Times New Roman" w:hAnsi="Times New Roman" w:cs="Times New Roman"/>
          <w:sz w:val="24"/>
        </w:rPr>
        <w:t>. However, these actions by Aunt March are secondhand and not spoken by her. Nevertheless, she is depicted as a different character in the film, where she plays a bigger role. She helps Amy achieve a good marriage match and offers some humor when she feels like the rest of the family is acting too zany. Therefore, the novel relegates Aunt March to the background, unlike the film.</w:t>
      </w:r>
    </w:p>
    <w:p w:rsidR="00BE6F1C" w:rsidRPr="00BE6F1C" w:rsidRDefault="00BE6F1C" w:rsidP="00BE6F1C">
      <w:pPr>
        <w:spacing w:line="480" w:lineRule="auto"/>
        <w:contextualSpacing/>
        <w:jc w:val="center"/>
        <w:rPr>
          <w:rFonts w:ascii="Times New Roman" w:hAnsi="Times New Roman" w:cs="Times New Roman"/>
          <w:b/>
          <w:sz w:val="24"/>
        </w:rPr>
      </w:pPr>
      <w:r>
        <w:rPr>
          <w:rFonts w:ascii="Times New Roman" w:hAnsi="Times New Roman" w:cs="Times New Roman"/>
          <w:b/>
          <w:sz w:val="24"/>
        </w:rPr>
        <w:t>Similarities</w:t>
      </w:r>
    </w:p>
    <w:p w:rsidR="00BE6F1C" w:rsidRPr="00BE6F1C" w:rsidRDefault="00BE6F1C" w:rsidP="00BE6F1C">
      <w:pPr>
        <w:spacing w:line="480" w:lineRule="auto"/>
        <w:ind w:firstLine="720"/>
        <w:contextualSpacing/>
        <w:rPr>
          <w:rFonts w:ascii="Times New Roman" w:hAnsi="Times New Roman" w:cs="Times New Roman"/>
          <w:sz w:val="24"/>
        </w:rPr>
      </w:pPr>
      <w:r w:rsidRPr="00BE6F1C">
        <w:rPr>
          <w:rFonts w:ascii="Times New Roman" w:hAnsi="Times New Roman" w:cs="Times New Roman"/>
          <w:sz w:val="24"/>
        </w:rPr>
        <w:t xml:space="preserve">Both </w:t>
      </w:r>
      <w:proofErr w:type="spellStart"/>
      <w:r w:rsidRPr="00BE6F1C">
        <w:rPr>
          <w:rFonts w:ascii="Times New Roman" w:hAnsi="Times New Roman" w:cs="Times New Roman"/>
          <w:sz w:val="24"/>
        </w:rPr>
        <w:t>Gerwig</w:t>
      </w:r>
      <w:proofErr w:type="spellEnd"/>
      <w:r w:rsidRPr="00BE6F1C">
        <w:rPr>
          <w:rFonts w:ascii="Times New Roman" w:hAnsi="Times New Roman" w:cs="Times New Roman"/>
          <w:sz w:val="24"/>
        </w:rPr>
        <w:t xml:space="preserve"> and Alcott portray similar perspectives about love that men must sacrifice and change as well. In the film, Laurie is seen as self-indulgent and grasps this trait up to a particular level and decides to give up on pleasure habits before proposing to Jo. Also, Laurie receives his share of condemnation when he is blasted by Amy for his relapse in France. Similarly, Amy reprimands Laurie in Alcott’s story due to his actions, and he agrees to change for his love to Jo. The sense of thematic rhyme in both the novel and film is maintained, making </w:t>
      </w:r>
      <w:proofErr w:type="spellStart"/>
      <w:r w:rsidRPr="00BE6F1C">
        <w:rPr>
          <w:rFonts w:ascii="Times New Roman" w:hAnsi="Times New Roman" w:cs="Times New Roman"/>
          <w:sz w:val="24"/>
        </w:rPr>
        <w:t>Gerwig’s</w:t>
      </w:r>
      <w:proofErr w:type="spellEnd"/>
      <w:r w:rsidRPr="00BE6F1C">
        <w:rPr>
          <w:rFonts w:ascii="Times New Roman" w:hAnsi="Times New Roman" w:cs="Times New Roman"/>
          <w:sz w:val="24"/>
        </w:rPr>
        <w:t xml:space="preserve"> adaptation an outstanding screenpla</w:t>
      </w:r>
      <w:r w:rsidR="00EE3A1B">
        <w:rPr>
          <w:rFonts w:ascii="Times New Roman" w:hAnsi="Times New Roman" w:cs="Times New Roman"/>
          <w:sz w:val="24"/>
        </w:rPr>
        <w:t>y of May Alcott’s “Little Women</w:t>
      </w:r>
      <w:r w:rsidRPr="00BE6F1C">
        <w:rPr>
          <w:rFonts w:ascii="Times New Roman" w:hAnsi="Times New Roman" w:cs="Times New Roman"/>
          <w:sz w:val="24"/>
        </w:rPr>
        <w:t>”</w:t>
      </w:r>
      <w:r w:rsidR="00EE3A1B">
        <w:rPr>
          <w:rFonts w:ascii="Times New Roman" w:hAnsi="Times New Roman" w:cs="Times New Roman"/>
          <w:sz w:val="24"/>
        </w:rPr>
        <w:t xml:space="preserve"> (</w:t>
      </w:r>
      <w:proofErr w:type="spellStart"/>
      <w:r w:rsidR="00EE3A1B">
        <w:rPr>
          <w:rFonts w:ascii="Times New Roman" w:hAnsi="Times New Roman" w:cs="Times New Roman"/>
          <w:sz w:val="24"/>
        </w:rPr>
        <w:t>Brondy</w:t>
      </w:r>
      <w:proofErr w:type="spellEnd"/>
      <w:r w:rsidR="00EE3A1B">
        <w:rPr>
          <w:rFonts w:ascii="Times New Roman" w:hAnsi="Times New Roman" w:cs="Times New Roman"/>
          <w:sz w:val="24"/>
        </w:rPr>
        <w:t>, 2019)</w:t>
      </w:r>
      <w:r w:rsidR="00EE3A1B">
        <w:rPr>
          <w:rFonts w:ascii="Times New Roman" w:hAnsi="Times New Roman" w:cs="Times New Roman"/>
          <w:sz w:val="24"/>
        </w:rPr>
        <w:t>.</w:t>
      </w:r>
    </w:p>
    <w:p w:rsidR="00BE6F1C" w:rsidRPr="00BE6F1C" w:rsidRDefault="00BE6F1C" w:rsidP="00BE6F1C">
      <w:pPr>
        <w:spacing w:line="480" w:lineRule="auto"/>
        <w:contextualSpacing/>
        <w:jc w:val="center"/>
        <w:rPr>
          <w:rFonts w:ascii="Times New Roman" w:hAnsi="Times New Roman" w:cs="Times New Roman"/>
          <w:b/>
          <w:sz w:val="24"/>
        </w:rPr>
      </w:pPr>
      <w:r w:rsidRPr="00BE6F1C">
        <w:rPr>
          <w:rFonts w:ascii="Times New Roman" w:hAnsi="Times New Roman" w:cs="Times New Roman"/>
          <w:b/>
          <w:sz w:val="24"/>
        </w:rPr>
        <w:t>Conclusion</w:t>
      </w:r>
    </w:p>
    <w:p w:rsidR="00BE6F1C" w:rsidRDefault="00BE6F1C" w:rsidP="00BE6F1C">
      <w:pPr>
        <w:spacing w:line="480" w:lineRule="auto"/>
        <w:ind w:firstLine="720"/>
        <w:contextualSpacing/>
        <w:rPr>
          <w:rFonts w:ascii="Times New Roman" w:hAnsi="Times New Roman" w:cs="Times New Roman"/>
          <w:sz w:val="24"/>
        </w:rPr>
      </w:pPr>
      <w:r w:rsidRPr="00BE6F1C">
        <w:rPr>
          <w:rFonts w:ascii="Times New Roman" w:hAnsi="Times New Roman" w:cs="Times New Roman"/>
          <w:sz w:val="24"/>
        </w:rPr>
        <w:t xml:space="preserve">In light of the above comparison, it is worth noting that </w:t>
      </w:r>
      <w:proofErr w:type="spellStart"/>
      <w:r w:rsidRPr="00BE6F1C">
        <w:rPr>
          <w:rFonts w:ascii="Times New Roman" w:hAnsi="Times New Roman" w:cs="Times New Roman"/>
          <w:sz w:val="24"/>
        </w:rPr>
        <w:t>Gerwig’s</w:t>
      </w:r>
      <w:proofErr w:type="spellEnd"/>
      <w:r w:rsidRPr="00BE6F1C">
        <w:rPr>
          <w:rFonts w:ascii="Times New Roman" w:hAnsi="Times New Roman" w:cs="Times New Roman"/>
          <w:sz w:val="24"/>
        </w:rPr>
        <w:t xml:space="preserve"> adaptation of “Little Women” does not cover significant portions of May Alcott’s novel. While the book explains </w:t>
      </w:r>
      <w:r w:rsidRPr="00BE6F1C">
        <w:rPr>
          <w:rFonts w:ascii="Times New Roman" w:hAnsi="Times New Roman" w:cs="Times New Roman"/>
          <w:sz w:val="24"/>
        </w:rPr>
        <w:lastRenderedPageBreak/>
        <w:t xml:space="preserve">more instances of the relationship between characters, the film misses key anecdotal relationships between the characters, which happen repeatedly. The movie condenses the novel and tries to capture the crucial moments. However, the director attempts to ensure everything is done according to Alcott’s flair while considering the modern-day audience. </w:t>
      </w:r>
      <w:proofErr w:type="spellStart"/>
      <w:r w:rsidRPr="00BE6F1C">
        <w:rPr>
          <w:rFonts w:ascii="Times New Roman" w:hAnsi="Times New Roman" w:cs="Times New Roman"/>
          <w:sz w:val="24"/>
        </w:rPr>
        <w:t>Gerwig</w:t>
      </w:r>
      <w:proofErr w:type="spellEnd"/>
      <w:r w:rsidRPr="00BE6F1C">
        <w:rPr>
          <w:rFonts w:ascii="Times New Roman" w:hAnsi="Times New Roman" w:cs="Times New Roman"/>
          <w:sz w:val="24"/>
        </w:rPr>
        <w:t xml:space="preserve"> maintains a similarity in the theme depicted in the novel by Alcott. Despite the differences in the plot and character relationships, </w:t>
      </w:r>
      <w:proofErr w:type="spellStart"/>
      <w:r w:rsidRPr="00BE6F1C">
        <w:rPr>
          <w:rFonts w:ascii="Times New Roman" w:hAnsi="Times New Roman" w:cs="Times New Roman"/>
          <w:sz w:val="24"/>
        </w:rPr>
        <w:t>Gerwig’s</w:t>
      </w:r>
      <w:proofErr w:type="spellEnd"/>
      <w:r w:rsidRPr="00BE6F1C">
        <w:rPr>
          <w:rFonts w:ascii="Times New Roman" w:hAnsi="Times New Roman" w:cs="Times New Roman"/>
          <w:sz w:val="24"/>
        </w:rPr>
        <w:t xml:space="preserve"> adaptation maintains a remarkable clarity of Alcott’s novel on themes of sacrifice, love, ad mutually engaged emotions between the characters.</w:t>
      </w: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Default="00BE6F1C" w:rsidP="00BE6F1C">
      <w:pPr>
        <w:spacing w:line="480" w:lineRule="auto"/>
        <w:contextualSpacing/>
        <w:rPr>
          <w:rFonts w:ascii="Times New Roman" w:hAnsi="Times New Roman" w:cs="Times New Roman"/>
          <w:sz w:val="24"/>
        </w:rPr>
      </w:pPr>
    </w:p>
    <w:p w:rsidR="00BE6F1C" w:rsidRPr="00BE6F1C" w:rsidRDefault="00BE6F1C" w:rsidP="00BE6F1C">
      <w:pPr>
        <w:spacing w:line="480" w:lineRule="auto"/>
        <w:contextualSpacing/>
        <w:jc w:val="center"/>
        <w:rPr>
          <w:rFonts w:ascii="Times New Roman" w:hAnsi="Times New Roman" w:cs="Times New Roman"/>
          <w:b/>
          <w:sz w:val="24"/>
        </w:rPr>
      </w:pPr>
      <w:r w:rsidRPr="00BE6F1C">
        <w:rPr>
          <w:rFonts w:ascii="Times New Roman" w:hAnsi="Times New Roman" w:cs="Times New Roman"/>
          <w:b/>
          <w:sz w:val="24"/>
        </w:rPr>
        <w:lastRenderedPageBreak/>
        <w:t>References</w:t>
      </w:r>
    </w:p>
    <w:p w:rsidR="00EE3A1B" w:rsidRPr="00EE3A1B" w:rsidRDefault="00EE3A1B" w:rsidP="00EE3A1B">
      <w:pPr>
        <w:shd w:val="clear" w:color="auto" w:fill="FFFFFF"/>
        <w:spacing w:before="100" w:beforeAutospacing="1" w:after="150" w:line="312" w:lineRule="atLeast"/>
        <w:rPr>
          <w:rFonts w:ascii="Times New Roman" w:eastAsia="Arial Unicode MS" w:hAnsi="Times New Roman" w:cs="Times New Roman"/>
          <w:color w:val="000000"/>
          <w:sz w:val="24"/>
          <w:szCs w:val="24"/>
        </w:rPr>
      </w:pPr>
      <w:r w:rsidRPr="00EE3A1B">
        <w:rPr>
          <w:rFonts w:ascii="Times New Roman" w:eastAsia="Arial Unicode MS" w:hAnsi="Times New Roman" w:cs="Times New Roman"/>
          <w:color w:val="000000"/>
          <w:sz w:val="24"/>
          <w:szCs w:val="24"/>
        </w:rPr>
        <w:t>Alcott, L. M. (2004). </w:t>
      </w:r>
      <w:r w:rsidRPr="00EE3A1B">
        <w:rPr>
          <w:rFonts w:ascii="Times New Roman" w:eastAsia="Arial Unicode MS" w:hAnsi="Times New Roman" w:cs="Times New Roman"/>
          <w:i/>
          <w:iCs/>
          <w:color w:val="000000"/>
          <w:sz w:val="24"/>
          <w:szCs w:val="24"/>
        </w:rPr>
        <w:t>Little women</w:t>
      </w:r>
      <w:r w:rsidRPr="00EE3A1B">
        <w:rPr>
          <w:rFonts w:ascii="Times New Roman" w:eastAsia="Arial Unicode MS" w:hAnsi="Times New Roman" w:cs="Times New Roman"/>
          <w:color w:val="000000"/>
          <w:sz w:val="24"/>
          <w:szCs w:val="24"/>
        </w:rPr>
        <w:t>. New York: Signet Classic.</w:t>
      </w:r>
    </w:p>
    <w:p w:rsidR="00EE3A1B" w:rsidRPr="00EE3A1B" w:rsidRDefault="00EE3A1B" w:rsidP="00EE3A1B">
      <w:pPr>
        <w:spacing w:line="480" w:lineRule="auto"/>
        <w:contextualSpacing/>
        <w:rPr>
          <w:rFonts w:ascii="Times New Roman" w:hAnsi="Times New Roman" w:cs="Times New Roman"/>
          <w:sz w:val="24"/>
          <w:szCs w:val="24"/>
        </w:rPr>
      </w:pPr>
      <w:proofErr w:type="spellStart"/>
      <w:r w:rsidRPr="00EE3A1B">
        <w:rPr>
          <w:rFonts w:ascii="Times New Roman" w:hAnsi="Times New Roman" w:cs="Times New Roman"/>
          <w:sz w:val="24"/>
          <w:szCs w:val="24"/>
        </w:rPr>
        <w:t>Brondy</w:t>
      </w:r>
      <w:proofErr w:type="spellEnd"/>
      <w:r w:rsidRPr="00EE3A1B">
        <w:rPr>
          <w:rFonts w:ascii="Times New Roman" w:hAnsi="Times New Roman" w:cs="Times New Roman"/>
          <w:sz w:val="24"/>
          <w:szCs w:val="24"/>
        </w:rPr>
        <w:t xml:space="preserve">, R. (2019). The Compromises of Greta </w:t>
      </w:r>
      <w:proofErr w:type="spellStart"/>
      <w:r w:rsidRPr="00EE3A1B">
        <w:rPr>
          <w:rFonts w:ascii="Times New Roman" w:hAnsi="Times New Roman" w:cs="Times New Roman"/>
          <w:sz w:val="24"/>
          <w:szCs w:val="24"/>
        </w:rPr>
        <w:t>Gerwig’s</w:t>
      </w:r>
      <w:proofErr w:type="spellEnd"/>
      <w:r w:rsidRPr="00EE3A1B">
        <w:rPr>
          <w:rFonts w:ascii="Times New Roman" w:hAnsi="Times New Roman" w:cs="Times New Roman"/>
          <w:sz w:val="24"/>
          <w:szCs w:val="24"/>
        </w:rPr>
        <w:t xml:space="preserve"> “Little Women”</w:t>
      </w:r>
    </w:p>
    <w:sectPr w:rsidR="00EE3A1B" w:rsidRPr="00EE3A1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A4C" w:rsidRDefault="003E1A4C" w:rsidP="00BE6F1C">
      <w:pPr>
        <w:spacing w:after="0" w:line="240" w:lineRule="auto"/>
      </w:pPr>
      <w:r>
        <w:separator/>
      </w:r>
    </w:p>
  </w:endnote>
  <w:endnote w:type="continuationSeparator" w:id="0">
    <w:p w:rsidR="003E1A4C" w:rsidRDefault="003E1A4C" w:rsidP="00BE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A4C" w:rsidRDefault="003E1A4C" w:rsidP="00BE6F1C">
      <w:pPr>
        <w:spacing w:after="0" w:line="240" w:lineRule="auto"/>
      </w:pPr>
      <w:r>
        <w:separator/>
      </w:r>
    </w:p>
  </w:footnote>
  <w:footnote w:type="continuationSeparator" w:id="0">
    <w:p w:rsidR="003E1A4C" w:rsidRDefault="003E1A4C" w:rsidP="00BE6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06879562"/>
      <w:docPartObj>
        <w:docPartGallery w:val="Page Numbers (Top of Page)"/>
        <w:docPartUnique/>
      </w:docPartObj>
    </w:sdtPr>
    <w:sdtEndPr>
      <w:rPr>
        <w:noProof/>
      </w:rPr>
    </w:sdtEndPr>
    <w:sdtContent>
      <w:p w:rsidR="00BE6F1C" w:rsidRPr="00BE6F1C" w:rsidRDefault="00BE6F1C">
        <w:pPr>
          <w:pStyle w:val="Header"/>
          <w:jc w:val="right"/>
          <w:rPr>
            <w:rFonts w:ascii="Times New Roman" w:hAnsi="Times New Roman" w:cs="Times New Roman"/>
            <w:sz w:val="24"/>
          </w:rPr>
        </w:pPr>
        <w:r w:rsidRPr="00BE6F1C">
          <w:rPr>
            <w:rFonts w:ascii="Times New Roman" w:hAnsi="Times New Roman" w:cs="Times New Roman"/>
            <w:sz w:val="24"/>
          </w:rPr>
          <w:fldChar w:fldCharType="begin"/>
        </w:r>
        <w:r w:rsidRPr="00BE6F1C">
          <w:rPr>
            <w:rFonts w:ascii="Times New Roman" w:hAnsi="Times New Roman" w:cs="Times New Roman"/>
            <w:sz w:val="24"/>
          </w:rPr>
          <w:instrText xml:space="preserve"> PAGE   \* MERGEFORMAT </w:instrText>
        </w:r>
        <w:r w:rsidRPr="00BE6F1C">
          <w:rPr>
            <w:rFonts w:ascii="Times New Roman" w:hAnsi="Times New Roman" w:cs="Times New Roman"/>
            <w:sz w:val="24"/>
          </w:rPr>
          <w:fldChar w:fldCharType="separate"/>
        </w:r>
        <w:r w:rsidR="00E63CB8">
          <w:rPr>
            <w:rFonts w:ascii="Times New Roman" w:hAnsi="Times New Roman" w:cs="Times New Roman"/>
            <w:noProof/>
            <w:sz w:val="24"/>
          </w:rPr>
          <w:t>4</w:t>
        </w:r>
        <w:r w:rsidRPr="00BE6F1C">
          <w:rPr>
            <w:rFonts w:ascii="Times New Roman" w:hAnsi="Times New Roman" w:cs="Times New Roman"/>
            <w:noProof/>
            <w:sz w:val="24"/>
          </w:rPr>
          <w:fldChar w:fldCharType="end"/>
        </w:r>
      </w:p>
    </w:sdtContent>
  </w:sdt>
  <w:p w:rsidR="00BE6F1C" w:rsidRDefault="00BE6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44A12"/>
    <w:multiLevelType w:val="multilevel"/>
    <w:tmpl w:val="BB56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D5"/>
    <w:rsid w:val="000B3871"/>
    <w:rsid w:val="00240D79"/>
    <w:rsid w:val="003D7D8A"/>
    <w:rsid w:val="003E1A4C"/>
    <w:rsid w:val="0048685A"/>
    <w:rsid w:val="00492ACA"/>
    <w:rsid w:val="004F6D93"/>
    <w:rsid w:val="00721A82"/>
    <w:rsid w:val="00725ECC"/>
    <w:rsid w:val="009C195F"/>
    <w:rsid w:val="00A7120B"/>
    <w:rsid w:val="00BE6F1C"/>
    <w:rsid w:val="00CC2FD5"/>
    <w:rsid w:val="00D34F95"/>
    <w:rsid w:val="00E63CB8"/>
    <w:rsid w:val="00EE3A1B"/>
    <w:rsid w:val="00F66469"/>
    <w:rsid w:val="00F8553E"/>
    <w:rsid w:val="00FC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76630-3094-421B-A651-A34C0321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F1C"/>
  </w:style>
  <w:style w:type="paragraph" w:styleId="Footer">
    <w:name w:val="footer"/>
    <w:basedOn w:val="Normal"/>
    <w:link w:val="FooterChar"/>
    <w:uiPriority w:val="99"/>
    <w:unhideWhenUsed/>
    <w:rsid w:val="00BE6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4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2021-03-19T17:14:00Z</dcterms:created>
  <dcterms:modified xsi:type="dcterms:W3CDTF">2021-03-19T19:52:00Z</dcterms:modified>
</cp:coreProperties>
</file>